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D57F69" w14:textId="3B28927E" w:rsidR="00CC0D1A" w:rsidRDefault="00CC0D1A" w:rsidP="00CC0D1A">
      <w:pPr>
        <w:pStyle w:val="topic-paragraph"/>
        <w:shd w:val="clear" w:color="auto" w:fill="FFFFFF"/>
        <w:spacing w:before="150" w:beforeAutospacing="0" w:after="300" w:afterAutospacing="0"/>
        <w:rPr>
          <w:rFonts w:ascii="Georgia" w:hAnsi="Georgia"/>
          <w:color w:val="1A1A1A"/>
          <w:sz w:val="30"/>
          <w:szCs w:val="30"/>
        </w:rPr>
      </w:pPr>
      <w:r>
        <w:rPr>
          <w:rStyle w:val="Strong"/>
          <w:rFonts w:ascii="Georgia" w:hAnsi="Georgia"/>
          <w:color w:val="1A1A1A"/>
          <w:sz w:val="30"/>
          <w:szCs w:val="30"/>
          <w:shd w:val="clear" w:color="auto" w:fill="FFFFFF"/>
        </w:rPr>
        <w:t>Civil rights</w:t>
      </w:r>
      <w:r>
        <w:rPr>
          <w:rFonts w:ascii="Georgia" w:hAnsi="Georgia"/>
          <w:color w:val="1A1A1A"/>
          <w:sz w:val="30"/>
          <w:szCs w:val="30"/>
          <w:shd w:val="clear" w:color="auto" w:fill="FFFFFF"/>
        </w:rPr>
        <w:t>, guarantees of equal social opportunities and </w:t>
      </w:r>
      <w:hyperlink r:id="rId4" w:history="1">
        <w:r>
          <w:rPr>
            <w:rStyle w:val="Hyperlink"/>
            <w:rFonts w:ascii="Georgia" w:hAnsi="Georgia"/>
            <w:color w:val="14599D"/>
            <w:sz w:val="30"/>
            <w:szCs w:val="30"/>
            <w:shd w:val="clear" w:color="auto" w:fill="FFFFFF"/>
          </w:rPr>
          <w:t>equal protection</w:t>
        </w:r>
      </w:hyperlink>
      <w:r>
        <w:rPr>
          <w:rFonts w:ascii="Georgia" w:hAnsi="Georgia"/>
          <w:color w:val="1A1A1A"/>
          <w:sz w:val="30"/>
          <w:szCs w:val="30"/>
          <w:shd w:val="clear" w:color="auto" w:fill="FFFFFF"/>
        </w:rPr>
        <w:t> under the law, regardless of race, religion, or other personal characteristics.</w:t>
      </w:r>
    </w:p>
    <w:p w14:paraId="44D4B2C8" w14:textId="1B7489C1" w:rsidR="00CC0D1A" w:rsidRDefault="00CC0D1A" w:rsidP="00CC0D1A">
      <w:pPr>
        <w:pStyle w:val="topic-paragraph"/>
        <w:shd w:val="clear" w:color="auto" w:fill="FFFFFF"/>
        <w:spacing w:before="150" w:beforeAutospacing="0" w:after="300" w:afterAutospacing="0"/>
        <w:rPr>
          <w:rFonts w:ascii="Georgia" w:hAnsi="Georgia"/>
          <w:color w:val="1A1A1A"/>
          <w:sz w:val="30"/>
          <w:szCs w:val="30"/>
        </w:rPr>
      </w:pPr>
      <w:r>
        <w:rPr>
          <w:rFonts w:ascii="Georgia" w:hAnsi="Georgia"/>
          <w:color w:val="1A1A1A"/>
          <w:sz w:val="30"/>
          <w:szCs w:val="30"/>
        </w:rPr>
        <w:t>Examples of civil rights include the </w:t>
      </w:r>
      <w:hyperlink r:id="rId5" w:history="1">
        <w:r>
          <w:rPr>
            <w:rStyle w:val="Hyperlink"/>
            <w:rFonts w:ascii="Georgia" w:hAnsi="Georgia"/>
            <w:color w:val="14599D"/>
            <w:sz w:val="30"/>
            <w:szCs w:val="30"/>
          </w:rPr>
          <w:t>right to vote</w:t>
        </w:r>
      </w:hyperlink>
      <w:r>
        <w:rPr>
          <w:rFonts w:ascii="Georgia" w:hAnsi="Georgia"/>
          <w:color w:val="1A1A1A"/>
          <w:sz w:val="30"/>
          <w:szCs w:val="30"/>
        </w:rPr>
        <w:t>, the right to a fair </w:t>
      </w:r>
      <w:hyperlink r:id="rId6" w:history="1">
        <w:r>
          <w:rPr>
            <w:rStyle w:val="Hyperlink"/>
            <w:rFonts w:ascii="Georgia" w:hAnsi="Georgia"/>
            <w:color w:val="14599D"/>
            <w:sz w:val="30"/>
            <w:szCs w:val="30"/>
          </w:rPr>
          <w:t>trial</w:t>
        </w:r>
      </w:hyperlink>
      <w:r>
        <w:rPr>
          <w:rFonts w:ascii="Georgia" w:hAnsi="Georgia"/>
          <w:color w:val="1A1A1A"/>
          <w:sz w:val="30"/>
          <w:szCs w:val="30"/>
        </w:rPr>
        <w:t>, the right to government services, the right to a </w:t>
      </w:r>
      <w:hyperlink r:id="rId7" w:history="1">
        <w:r>
          <w:rPr>
            <w:rStyle w:val="Hyperlink"/>
            <w:rFonts w:ascii="Georgia" w:hAnsi="Georgia"/>
            <w:color w:val="14599D"/>
            <w:sz w:val="30"/>
            <w:szCs w:val="30"/>
          </w:rPr>
          <w:t>public education</w:t>
        </w:r>
      </w:hyperlink>
      <w:r>
        <w:rPr>
          <w:rFonts w:ascii="Georgia" w:hAnsi="Georgia"/>
          <w:color w:val="1A1A1A"/>
          <w:sz w:val="30"/>
          <w:szCs w:val="30"/>
        </w:rPr>
        <w:t>, and the right to use public facilities. Civil rights are an essential component of </w:t>
      </w:r>
      <w:hyperlink r:id="rId8" w:history="1">
        <w:r>
          <w:rPr>
            <w:rStyle w:val="Hyperlink"/>
            <w:rFonts w:ascii="Georgia" w:hAnsi="Georgia"/>
            <w:color w:val="14599D"/>
            <w:sz w:val="30"/>
            <w:szCs w:val="30"/>
          </w:rPr>
          <w:t>democracy</w:t>
        </w:r>
      </w:hyperlink>
      <w:r>
        <w:rPr>
          <w:rFonts w:ascii="Georgia" w:hAnsi="Georgia"/>
          <w:color w:val="1A1A1A"/>
          <w:sz w:val="30"/>
          <w:szCs w:val="30"/>
        </w:rPr>
        <w:t>; when individuals are being denied opportunities to participate in political society, they are being denied their civil rights. In contrast to </w:t>
      </w:r>
      <w:hyperlink r:id="rId9" w:history="1">
        <w:r>
          <w:rPr>
            <w:rStyle w:val="Hyperlink"/>
            <w:rFonts w:ascii="Georgia" w:hAnsi="Georgia"/>
            <w:color w:val="14599D"/>
            <w:sz w:val="30"/>
            <w:szCs w:val="30"/>
          </w:rPr>
          <w:t>civil liberties</w:t>
        </w:r>
      </w:hyperlink>
      <w:r>
        <w:rPr>
          <w:rFonts w:ascii="Georgia" w:hAnsi="Georgia"/>
          <w:color w:val="1A1A1A"/>
          <w:sz w:val="30"/>
          <w:szCs w:val="30"/>
        </w:rPr>
        <w:t>, which are freedoms that are secured by placing restraints on government, civil rights are secured by positive government action, often in the form of legislation. Civil rights laws attempt to guarantee full and equal citizenship for people who have traditionally been discriminated against on the basis of some group characteristic. When the enforcement of civil rights is found by many to be inadequate, a civil rights movement may emerge in order to call for equal application of the laws without </w:t>
      </w:r>
      <w:hyperlink r:id="rId10" w:history="1">
        <w:r>
          <w:rPr>
            <w:rStyle w:val="Hyperlink"/>
            <w:rFonts w:ascii="Georgia" w:hAnsi="Georgia"/>
            <w:color w:val="000000"/>
            <w:sz w:val="30"/>
            <w:szCs w:val="30"/>
          </w:rPr>
          <w:t>discrimination</w:t>
        </w:r>
      </w:hyperlink>
      <w:r>
        <w:rPr>
          <w:rFonts w:ascii="Georgia" w:hAnsi="Georgia"/>
          <w:color w:val="1A1A1A"/>
          <w:sz w:val="30"/>
          <w:szCs w:val="30"/>
        </w:rPr>
        <w:t>.</w:t>
      </w:r>
    </w:p>
    <w:p w14:paraId="2EDB8D21" w14:textId="77777777" w:rsidR="00CC0D1A" w:rsidRDefault="00CC0D1A" w:rsidP="00CC0D1A">
      <w:pPr>
        <w:pStyle w:val="topic-paragraph"/>
        <w:shd w:val="clear" w:color="auto" w:fill="FFFFFF"/>
        <w:spacing w:before="150" w:beforeAutospacing="0" w:after="450" w:afterAutospacing="0"/>
        <w:rPr>
          <w:rFonts w:ascii="Georgia" w:hAnsi="Georgia"/>
          <w:color w:val="1A1A1A"/>
          <w:sz w:val="30"/>
          <w:szCs w:val="30"/>
        </w:rPr>
      </w:pPr>
      <w:r>
        <w:rPr>
          <w:rFonts w:ascii="Georgia" w:hAnsi="Georgia"/>
          <w:color w:val="1A1A1A"/>
          <w:sz w:val="30"/>
          <w:szCs w:val="30"/>
        </w:rPr>
        <w:t>Unlike other rights concepts, such as </w:t>
      </w:r>
      <w:hyperlink r:id="rId11" w:history="1">
        <w:r>
          <w:rPr>
            <w:rStyle w:val="Hyperlink"/>
            <w:rFonts w:ascii="Georgia" w:hAnsi="Georgia"/>
            <w:color w:val="14599D"/>
            <w:sz w:val="30"/>
            <w:szCs w:val="30"/>
          </w:rPr>
          <w:t>human rights</w:t>
        </w:r>
      </w:hyperlink>
      <w:r>
        <w:rPr>
          <w:rFonts w:ascii="Georgia" w:hAnsi="Georgia"/>
          <w:color w:val="1A1A1A"/>
          <w:sz w:val="30"/>
          <w:szCs w:val="30"/>
        </w:rPr>
        <w:t> or </w:t>
      </w:r>
      <w:hyperlink r:id="rId12" w:history="1">
        <w:r>
          <w:rPr>
            <w:rStyle w:val="Hyperlink"/>
            <w:rFonts w:ascii="Georgia" w:hAnsi="Georgia"/>
            <w:color w:val="14599D"/>
            <w:sz w:val="30"/>
            <w:szCs w:val="30"/>
          </w:rPr>
          <w:t>natural rights</w:t>
        </w:r>
      </w:hyperlink>
      <w:r>
        <w:rPr>
          <w:rFonts w:ascii="Georgia" w:hAnsi="Georgia"/>
          <w:color w:val="1A1A1A"/>
          <w:sz w:val="30"/>
          <w:szCs w:val="30"/>
        </w:rPr>
        <w:t>, in which people acquire rights inherently, perhaps from God or nature, civil rights must be given and guaranteed by the power of the state. Therefore, they vary greatly over time, </w:t>
      </w:r>
      <w:hyperlink r:id="rId13" w:history="1">
        <w:r>
          <w:rPr>
            <w:rStyle w:val="Hyperlink"/>
            <w:rFonts w:ascii="Georgia" w:hAnsi="Georgia"/>
            <w:color w:val="000000"/>
            <w:sz w:val="30"/>
            <w:szCs w:val="30"/>
          </w:rPr>
          <w:t>culture</w:t>
        </w:r>
      </w:hyperlink>
      <w:r>
        <w:rPr>
          <w:rFonts w:ascii="Georgia" w:hAnsi="Georgia"/>
          <w:color w:val="1A1A1A"/>
          <w:sz w:val="30"/>
          <w:szCs w:val="30"/>
        </w:rPr>
        <w:t>, and form of government and tend to follow societal trends that </w:t>
      </w:r>
      <w:hyperlink r:id="rId14" w:history="1">
        <w:r>
          <w:rPr>
            <w:rStyle w:val="Hyperlink"/>
            <w:rFonts w:ascii="Georgia" w:hAnsi="Georgia"/>
            <w:color w:val="000000"/>
            <w:sz w:val="30"/>
            <w:szCs w:val="30"/>
          </w:rPr>
          <w:t>condone</w:t>
        </w:r>
      </w:hyperlink>
      <w:r>
        <w:rPr>
          <w:rFonts w:ascii="Georgia" w:hAnsi="Georgia"/>
          <w:color w:val="1A1A1A"/>
          <w:sz w:val="30"/>
          <w:szCs w:val="30"/>
        </w:rPr>
        <w:t> or </w:t>
      </w:r>
      <w:hyperlink r:id="rId15" w:history="1">
        <w:r>
          <w:rPr>
            <w:rStyle w:val="Hyperlink"/>
            <w:rFonts w:ascii="Georgia" w:hAnsi="Georgia"/>
            <w:color w:val="000000"/>
            <w:sz w:val="30"/>
            <w:szCs w:val="30"/>
          </w:rPr>
          <w:t>abhor</w:t>
        </w:r>
      </w:hyperlink>
      <w:r>
        <w:rPr>
          <w:rFonts w:ascii="Georgia" w:hAnsi="Georgia"/>
          <w:color w:val="1A1A1A"/>
          <w:sz w:val="30"/>
          <w:szCs w:val="30"/>
        </w:rPr>
        <w:t> particular types of discrimination. For example, the civil rights of the lesbian, gay, bisexual, transgender, and queer (</w:t>
      </w:r>
      <w:hyperlink r:id="rId16" w:history="1">
        <w:r>
          <w:rPr>
            <w:rStyle w:val="Hyperlink"/>
            <w:rFonts w:ascii="Georgia" w:hAnsi="Georgia"/>
            <w:color w:val="14599D"/>
            <w:sz w:val="30"/>
            <w:szCs w:val="30"/>
          </w:rPr>
          <w:t>LGBTQ</w:t>
        </w:r>
      </w:hyperlink>
      <w:r>
        <w:rPr>
          <w:rFonts w:ascii="Georgia" w:hAnsi="Georgia"/>
          <w:color w:val="1A1A1A"/>
          <w:sz w:val="30"/>
          <w:szCs w:val="30"/>
        </w:rPr>
        <w:t>) </w:t>
      </w:r>
      <w:hyperlink r:id="rId17" w:history="1">
        <w:r>
          <w:rPr>
            <w:rStyle w:val="Hyperlink"/>
            <w:rFonts w:ascii="Georgia" w:hAnsi="Georgia"/>
            <w:color w:val="000000"/>
            <w:sz w:val="30"/>
            <w:szCs w:val="30"/>
          </w:rPr>
          <w:t>community</w:t>
        </w:r>
      </w:hyperlink>
      <w:r>
        <w:rPr>
          <w:rFonts w:ascii="Georgia" w:hAnsi="Georgia"/>
          <w:color w:val="1A1A1A"/>
          <w:sz w:val="30"/>
          <w:szCs w:val="30"/>
        </w:rPr>
        <w:t> have only recently come to the forefront of political debate in some Western </w:t>
      </w:r>
      <w:hyperlink r:id="rId18" w:history="1">
        <w:r>
          <w:rPr>
            <w:rStyle w:val="Hyperlink"/>
            <w:rFonts w:ascii="Georgia" w:hAnsi="Georgia"/>
            <w:color w:val="000000"/>
            <w:sz w:val="30"/>
            <w:szCs w:val="30"/>
          </w:rPr>
          <w:t>democracies</w:t>
        </w:r>
      </w:hyperlink>
      <w:r>
        <w:rPr>
          <w:rFonts w:ascii="Georgia" w:hAnsi="Georgia"/>
          <w:color w:val="1A1A1A"/>
          <w:sz w:val="30"/>
          <w:szCs w:val="30"/>
        </w:rPr>
        <w:t>.</w:t>
      </w:r>
    </w:p>
    <w:p w14:paraId="37C20919" w14:textId="77777777" w:rsidR="00150765" w:rsidRDefault="00150765"/>
    <w:sectPr w:rsidR="001507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D1A"/>
    <w:rsid w:val="00150765"/>
    <w:rsid w:val="00CC0D1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302F0"/>
  <w15:chartTrackingRefBased/>
  <w15:docId w15:val="{6222331D-1A64-4937-B170-8303BAC4C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fo-F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opic-paragraph">
    <w:name w:val="topic-paragraph"/>
    <w:basedOn w:val="Normal"/>
    <w:rsid w:val="00CC0D1A"/>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character" w:styleId="Hyperlink">
    <w:name w:val="Hyperlink"/>
    <w:basedOn w:val="DefaultParagraphFont"/>
    <w:uiPriority w:val="99"/>
    <w:semiHidden/>
    <w:unhideWhenUsed/>
    <w:rsid w:val="00CC0D1A"/>
    <w:rPr>
      <w:color w:val="0000FF"/>
      <w:u w:val="single"/>
    </w:rPr>
  </w:style>
  <w:style w:type="character" w:styleId="Strong">
    <w:name w:val="Strong"/>
    <w:basedOn w:val="DefaultParagraphFont"/>
    <w:uiPriority w:val="22"/>
    <w:qFormat/>
    <w:rsid w:val="00CC0D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940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itannica.com/topic/democracy" TargetMode="External"/><Relationship Id="rId13" Type="http://schemas.openxmlformats.org/officeDocument/2006/relationships/hyperlink" Target="https://www.merriam-webster.com/dictionary/culture" TargetMode="External"/><Relationship Id="rId18" Type="http://schemas.openxmlformats.org/officeDocument/2006/relationships/hyperlink" Target="https://www.merriam-webster.com/dictionary/democracies" TargetMode="External"/><Relationship Id="rId3" Type="http://schemas.openxmlformats.org/officeDocument/2006/relationships/webSettings" Target="webSettings.xml"/><Relationship Id="rId7" Type="http://schemas.openxmlformats.org/officeDocument/2006/relationships/hyperlink" Target="https://www.britannica.com/topic/public-education" TargetMode="External"/><Relationship Id="rId12" Type="http://schemas.openxmlformats.org/officeDocument/2006/relationships/hyperlink" Target="https://www.britannica.com/topic/natural-rights" TargetMode="External"/><Relationship Id="rId17" Type="http://schemas.openxmlformats.org/officeDocument/2006/relationships/hyperlink" Target="https://www.merriam-webster.com/dictionary/community" TargetMode="External"/><Relationship Id="rId2" Type="http://schemas.openxmlformats.org/officeDocument/2006/relationships/settings" Target="settings.xml"/><Relationship Id="rId16" Type="http://schemas.openxmlformats.org/officeDocument/2006/relationships/hyperlink" Target="https://www.britannica.com/topic/lesbian-gay-bisexual-transgendered-and-queer-community"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britannica.com/topic/trial-law" TargetMode="External"/><Relationship Id="rId11" Type="http://schemas.openxmlformats.org/officeDocument/2006/relationships/hyperlink" Target="https://www.britannica.com/topic/human-rights" TargetMode="External"/><Relationship Id="rId5" Type="http://schemas.openxmlformats.org/officeDocument/2006/relationships/hyperlink" Target="https://www.britannica.com/topic/suffrage" TargetMode="External"/><Relationship Id="rId15" Type="http://schemas.openxmlformats.org/officeDocument/2006/relationships/hyperlink" Target="https://www.merriam-webster.com/dictionary/abhor" TargetMode="External"/><Relationship Id="rId10" Type="http://schemas.openxmlformats.org/officeDocument/2006/relationships/hyperlink" Target="https://www.merriam-webster.com/dictionary/discrimination" TargetMode="External"/><Relationship Id="rId19" Type="http://schemas.openxmlformats.org/officeDocument/2006/relationships/fontTable" Target="fontTable.xml"/><Relationship Id="rId4" Type="http://schemas.openxmlformats.org/officeDocument/2006/relationships/hyperlink" Target="https://www.britannica.com/topic/equal-protection" TargetMode="External"/><Relationship Id="rId9" Type="http://schemas.openxmlformats.org/officeDocument/2006/relationships/hyperlink" Target="https://www.britannica.com/topic/civil-liberty" TargetMode="External"/><Relationship Id="rId14" Type="http://schemas.openxmlformats.org/officeDocument/2006/relationships/hyperlink" Target="https://www.merriam-webster.com/dictionary/cond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395</Words>
  <Characters>2257</Characters>
  <Application>Microsoft Office Word</Application>
  <DocSecurity>0</DocSecurity>
  <Lines>18</Lines>
  <Paragraphs>5</Paragraphs>
  <ScaleCrop>false</ScaleCrop>
  <Company/>
  <LinksUpToDate>false</LinksUpToDate>
  <CharactersWithSpaces>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Súsanna Holm</dc:creator>
  <cp:keywords/>
  <dc:description/>
  <cp:lastModifiedBy>Súsanna Holm</cp:lastModifiedBy>
  <cp:revision>1</cp:revision>
  <cp:lastPrinted>2021-03-01T09:34:00Z</cp:lastPrinted>
  <dcterms:created xsi:type="dcterms:W3CDTF">2021-03-01T09:33:00Z</dcterms:created>
  <dcterms:modified xsi:type="dcterms:W3CDTF">2021-03-01T09:35:00Z</dcterms:modified>
</cp:coreProperties>
</file>